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6"/>
      </w:tblGrid>
      <w:tr w:rsidR="001C10DD" w:rsidRPr="001C10DD" w:rsidTr="00BB4468">
        <w:trPr>
          <w:trHeight w:val="340"/>
        </w:trPr>
        <w:tc>
          <w:tcPr>
            <w:tcW w:w="5000" w:type="pct"/>
            <w:shd w:val="clear" w:color="auto" w:fill="C2D69B"/>
            <w:vAlign w:val="center"/>
          </w:tcPr>
          <w:p w:rsidR="00287F1F" w:rsidRPr="001C10DD" w:rsidRDefault="00287F1F" w:rsidP="000D5A41">
            <w:pPr>
              <w:pStyle w:val="Ttulo9"/>
              <w:rPr>
                <w:color w:val="auto"/>
                <w:sz w:val="22"/>
                <w:szCs w:val="22"/>
                <w:u w:val="none"/>
              </w:rPr>
            </w:pPr>
            <w:r w:rsidRPr="001C10DD">
              <w:rPr>
                <w:color w:val="auto"/>
                <w:sz w:val="22"/>
                <w:szCs w:val="22"/>
                <w:u w:val="none"/>
              </w:rPr>
              <w:t>INTRODUCCIÓN</w:t>
            </w:r>
          </w:p>
        </w:tc>
      </w:tr>
      <w:tr w:rsidR="00287F1F" w:rsidRPr="008A01B7" w:rsidTr="00BB4468">
        <w:trPr>
          <w:trHeight w:val="808"/>
        </w:trPr>
        <w:tc>
          <w:tcPr>
            <w:tcW w:w="5000" w:type="pct"/>
            <w:tcBorders>
              <w:bottom w:val="single" w:sz="4" w:space="0" w:color="auto"/>
            </w:tcBorders>
          </w:tcPr>
          <w:p w:rsidR="003C0D70" w:rsidRPr="008A01B7" w:rsidRDefault="00C379EB" w:rsidP="001E6E91">
            <w:pPr>
              <w:pStyle w:val="NormalWeb"/>
              <w:spacing w:before="120" w:beforeAutospacing="0" w:after="120" w:afterAutospacing="0"/>
              <w:ind w:firstLine="4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79EB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El presente instructivo </w:t>
            </w:r>
            <w:r w:rsid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>se redacta</w:t>
            </w:r>
            <w:r w:rsidRPr="00C379EB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 para que los responsables de los Departamentos dispongan de unas Instrucciones de seguridad para el personal Asistente Honorario, que no tienen relación contra</w:t>
            </w:r>
            <w:r w:rsid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ctual con la Universidad pero </w:t>
            </w:r>
            <w:r w:rsidRPr="00C379EB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que </w:t>
            </w:r>
            <w:r w:rsid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>desarrollan</w:t>
            </w:r>
            <w:r w:rsidRPr="00C379EB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 actividades de investigación en despachos y zonas afines de las instalaciones de la Universidad</w:t>
            </w:r>
          </w:p>
        </w:tc>
      </w:tr>
      <w:tr w:rsidR="001C10DD" w:rsidRPr="001C10DD" w:rsidTr="00BB4468">
        <w:trPr>
          <w:trHeight w:val="340"/>
        </w:trPr>
        <w:tc>
          <w:tcPr>
            <w:tcW w:w="5000" w:type="pct"/>
            <w:shd w:val="clear" w:color="auto" w:fill="C2D69B"/>
            <w:vAlign w:val="center"/>
          </w:tcPr>
          <w:p w:rsidR="00287F1F" w:rsidRPr="001C10DD" w:rsidRDefault="00287F1F" w:rsidP="000D5A41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0DD">
              <w:rPr>
                <w:rFonts w:ascii="Times New Roman" w:hAnsi="Times New Roman" w:cs="Times New Roman"/>
                <w:b/>
                <w:sz w:val="22"/>
                <w:szCs w:val="22"/>
              </w:rPr>
              <w:t>OBJETO</w:t>
            </w:r>
          </w:p>
        </w:tc>
      </w:tr>
      <w:tr w:rsidR="00287F1F" w:rsidRPr="008A01B7" w:rsidTr="00BB4468">
        <w:trPr>
          <w:cantSplit/>
          <w:trHeight w:val="20"/>
        </w:trPr>
        <w:tc>
          <w:tcPr>
            <w:tcW w:w="5000" w:type="pct"/>
            <w:tcBorders>
              <w:bottom w:val="single" w:sz="4" w:space="0" w:color="auto"/>
            </w:tcBorders>
          </w:tcPr>
          <w:p w:rsidR="00287F1F" w:rsidRPr="001E6E91" w:rsidRDefault="00287F1F" w:rsidP="00873782">
            <w:pPr>
              <w:spacing w:before="120" w:after="120"/>
              <w:jc w:val="both"/>
              <w:rPr>
                <w:color w:val="000000"/>
                <w:kern w:val="24"/>
                <w:sz w:val="22"/>
                <w:szCs w:val="22"/>
                <w:lang w:eastAsia="en-US"/>
              </w:rPr>
            </w:pPr>
            <w:r w:rsidRPr="001E6E91">
              <w:rPr>
                <w:color w:val="000000"/>
                <w:kern w:val="24"/>
                <w:sz w:val="22"/>
                <w:szCs w:val="22"/>
                <w:lang w:eastAsia="en-US"/>
              </w:rPr>
              <w:t>La presente instrucción tiene doble finalidad:</w:t>
            </w:r>
          </w:p>
          <w:p w:rsidR="003C1DAA" w:rsidRPr="001E6E91" w:rsidRDefault="00287F1F" w:rsidP="00873782">
            <w:pPr>
              <w:pStyle w:val="Prrafodelista"/>
              <w:numPr>
                <w:ilvl w:val="0"/>
                <w:numId w:val="26"/>
              </w:numPr>
              <w:spacing w:before="120" w:after="120" w:line="240" w:lineRule="auto"/>
              <w:ind w:left="346" w:hanging="137"/>
              <w:jc w:val="both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Realizar una adecuada gestión sobre </w:t>
            </w:r>
            <w:r w:rsidR="001E6E91" w:rsidRPr="001E6E91">
              <w:rPr>
                <w:rFonts w:ascii="Times New Roman" w:eastAsia="Times New Roman" w:hAnsi="Times New Roman"/>
                <w:color w:val="000000"/>
                <w:kern w:val="24"/>
              </w:rPr>
              <w:t>el</w:t>
            </w: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acceso a los </w:t>
            </w:r>
            <w:r w:rsidR="00D14197" w:rsidRPr="001E6E91">
              <w:rPr>
                <w:rFonts w:ascii="Times New Roman" w:eastAsia="Times New Roman" w:hAnsi="Times New Roman"/>
                <w:color w:val="000000"/>
                <w:kern w:val="24"/>
              </w:rPr>
              <w:t>r</w:t>
            </w: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ecintos de la Universidad de </w:t>
            </w:r>
            <w:r w:rsidR="00F627AE" w:rsidRPr="001E6E91">
              <w:rPr>
                <w:rFonts w:ascii="Times New Roman" w:eastAsia="Times New Roman" w:hAnsi="Times New Roman"/>
                <w:color w:val="000000"/>
                <w:kern w:val="24"/>
              </w:rPr>
              <w:t>Sevilla por</w:t>
            </w:r>
            <w:r w:rsidR="00C379EB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parte de los Departamentos</w:t>
            </w:r>
          </w:p>
          <w:p w:rsidR="00287F1F" w:rsidRPr="001E6E91" w:rsidRDefault="00287F1F" w:rsidP="00873782">
            <w:pPr>
              <w:pStyle w:val="Prrafodelista"/>
              <w:numPr>
                <w:ilvl w:val="0"/>
                <w:numId w:val="26"/>
              </w:numPr>
              <w:spacing w:before="120" w:after="120" w:line="240" w:lineRule="auto"/>
              <w:ind w:left="346" w:hanging="137"/>
              <w:jc w:val="both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>Informar y dar instrucciones de seguridad a l</w:t>
            </w:r>
            <w:r w:rsidR="003C1DAA" w:rsidRPr="001E6E91">
              <w:rPr>
                <w:rFonts w:ascii="Times New Roman" w:eastAsia="Times New Roman" w:hAnsi="Times New Roman"/>
                <w:color w:val="000000"/>
                <w:kern w:val="24"/>
              </w:rPr>
              <w:t>o</w:t>
            </w:r>
            <w:r w:rsidR="00C379EB" w:rsidRPr="001E6E91">
              <w:rPr>
                <w:rFonts w:ascii="Times New Roman" w:eastAsia="Times New Roman" w:hAnsi="Times New Roman"/>
                <w:color w:val="000000"/>
                <w:kern w:val="24"/>
              </w:rPr>
              <w:t>s asistentes honorarios</w:t>
            </w:r>
            <w:r w:rsidR="001E6E91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>de forma que reciban las indicaciones necesarias que garanticen la seguridad de los mismos y</w:t>
            </w:r>
            <w:r w:rsidR="006C196B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la</w:t>
            </w: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del resto de personal de dicha instalación.</w:t>
            </w:r>
          </w:p>
          <w:p w:rsidR="008A01B7" w:rsidRPr="001E6E91" w:rsidRDefault="004A0ADA" w:rsidP="00873782">
            <w:pPr>
              <w:spacing w:before="120" w:after="120"/>
              <w:jc w:val="both"/>
              <w:rPr>
                <w:color w:val="000000"/>
                <w:kern w:val="24"/>
                <w:sz w:val="22"/>
                <w:szCs w:val="22"/>
                <w:lang w:eastAsia="en-US"/>
              </w:rPr>
            </w:pPr>
            <w:r w:rsidRPr="001E6E91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Esta instrucción </w:t>
            </w:r>
            <w:r w:rsidR="00287F1F" w:rsidRPr="001E6E91">
              <w:rPr>
                <w:color w:val="000000"/>
                <w:kern w:val="24"/>
                <w:sz w:val="22"/>
                <w:szCs w:val="22"/>
                <w:lang w:eastAsia="en-US"/>
              </w:rPr>
              <w:t>se complementa con:</w:t>
            </w:r>
          </w:p>
          <w:p w:rsidR="00287F1F" w:rsidRPr="001E6E91" w:rsidRDefault="00287F1F" w:rsidP="00873782">
            <w:pPr>
              <w:pStyle w:val="NormalWeb"/>
              <w:widowControl w:val="0"/>
              <w:numPr>
                <w:ilvl w:val="0"/>
                <w:numId w:val="21"/>
              </w:numPr>
              <w:spacing w:before="120" w:beforeAutospacing="0" w:after="120" w:afterAutospacing="0"/>
              <w:ind w:left="634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</w:pPr>
            <w:r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Un registro </w:t>
            </w:r>
            <w:r w:rsidR="00D14197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de acceso </w:t>
            </w:r>
            <w:r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para cumplimentar por </w:t>
            </w:r>
            <w:r w:rsidR="00C379EB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>el responsable del Departamento o del grupo de Investigación</w:t>
            </w:r>
            <w:r w:rsidR="004A0ADA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 donde este el asistente honorario</w:t>
            </w:r>
            <w:r w:rsidR="001E6E91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>,</w:t>
            </w:r>
            <w:r w:rsidR="00BC5FF6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 que deberá firmar</w:t>
            </w:r>
          </w:p>
          <w:p w:rsidR="003C0D70" w:rsidRPr="001E6E91" w:rsidRDefault="00287F1F" w:rsidP="006C196B">
            <w:pPr>
              <w:pStyle w:val="NormalWeb"/>
              <w:widowControl w:val="0"/>
              <w:numPr>
                <w:ilvl w:val="0"/>
                <w:numId w:val="21"/>
              </w:numPr>
              <w:spacing w:before="120" w:beforeAutospacing="0" w:after="120" w:afterAutospacing="0"/>
              <w:ind w:left="634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</w:pPr>
            <w:r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>Un</w:t>
            </w:r>
            <w:r w:rsidR="00A52F3C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a instrucción de normas de seguridad y de emergencias, con un plano </w:t>
            </w:r>
            <w:r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con los recorridos de </w:t>
            </w:r>
            <w:r w:rsidR="006C196B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>evacuación</w:t>
            </w:r>
            <w:r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 hasta las zonas seguras o hasta los puntos de reunión indicados en el Plan de Autoprotección del Centro. Este plano debe</w:t>
            </w:r>
            <w:r w:rsidR="00C379EB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 proporcionarse a cada asistente honorario,</w:t>
            </w:r>
            <w:r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 ya sea en papel, soporte informático, o a través de red de comunicaciones inalámbricas, antes del inicio de la actividad</w:t>
            </w:r>
            <w:r w:rsidR="006C196B"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 xml:space="preserve"> que vaya a realizar</w:t>
            </w:r>
            <w:r w:rsidRPr="001E6E9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en-US"/>
              </w:rPr>
              <w:t>.</w:t>
            </w:r>
          </w:p>
        </w:tc>
      </w:tr>
      <w:tr w:rsidR="001C10DD" w:rsidRPr="001C10DD" w:rsidTr="00BB4468">
        <w:trPr>
          <w:cantSplit/>
          <w:trHeight w:val="340"/>
        </w:trPr>
        <w:tc>
          <w:tcPr>
            <w:tcW w:w="5000" w:type="pct"/>
            <w:shd w:val="clear" w:color="auto" w:fill="C2D69B"/>
            <w:vAlign w:val="center"/>
          </w:tcPr>
          <w:p w:rsidR="00287F1F" w:rsidRPr="001C10DD" w:rsidRDefault="00287F1F" w:rsidP="008A01B7">
            <w:pPr>
              <w:pStyle w:val="Ttulo9"/>
              <w:rPr>
                <w:color w:val="auto"/>
                <w:sz w:val="22"/>
                <w:szCs w:val="22"/>
                <w:u w:val="none"/>
              </w:rPr>
            </w:pPr>
            <w:r w:rsidRPr="001C10DD">
              <w:rPr>
                <w:color w:val="auto"/>
                <w:sz w:val="22"/>
                <w:szCs w:val="22"/>
                <w:u w:val="none"/>
              </w:rPr>
              <w:t>INSTRUCCIONES</w:t>
            </w:r>
          </w:p>
        </w:tc>
      </w:tr>
      <w:tr w:rsidR="00287F1F" w:rsidRPr="008A01B7" w:rsidTr="00F24903">
        <w:trPr>
          <w:cantSplit/>
        </w:trPr>
        <w:tc>
          <w:tcPr>
            <w:tcW w:w="5000" w:type="pct"/>
          </w:tcPr>
          <w:p w:rsidR="00287F1F" w:rsidRPr="001E6E91" w:rsidRDefault="00161307" w:rsidP="00873782">
            <w:pPr>
              <w:spacing w:before="120" w:after="120"/>
              <w:jc w:val="both"/>
              <w:rPr>
                <w:b/>
                <w:color w:val="000000"/>
                <w:kern w:val="24"/>
                <w:sz w:val="22"/>
                <w:szCs w:val="22"/>
                <w:lang w:eastAsia="en-US"/>
              </w:rPr>
            </w:pPr>
            <w:r w:rsidRPr="001E6E91">
              <w:rPr>
                <w:color w:val="000000"/>
                <w:kern w:val="24"/>
                <w:sz w:val="22"/>
                <w:szCs w:val="22"/>
                <w:lang w:eastAsia="en-US"/>
              </w:rPr>
              <w:t>A</w:t>
            </w:r>
            <w:r w:rsidR="00920BA0" w:rsidRPr="001E6E91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. </w:t>
            </w:r>
            <w:r w:rsidR="00BC5FF6" w:rsidRPr="001E6E91">
              <w:rPr>
                <w:b/>
                <w:color w:val="000000"/>
                <w:kern w:val="24"/>
                <w:sz w:val="22"/>
                <w:szCs w:val="22"/>
                <w:lang w:eastAsia="en-US"/>
              </w:rPr>
              <w:t>EL RESPONSABLE DEL DEPARTAMENTO/ GRUPO DE INVESTIGACION</w:t>
            </w:r>
            <w:r w:rsidR="00B84500">
              <w:rPr>
                <w:b/>
                <w:color w:val="000000"/>
                <w:kern w:val="24"/>
                <w:sz w:val="22"/>
                <w:szCs w:val="22"/>
                <w:lang w:eastAsia="en-US"/>
              </w:rPr>
              <w:t>,</w:t>
            </w:r>
            <w:r w:rsidR="001E6E91" w:rsidRPr="001E6E91">
              <w:rPr>
                <w:b/>
                <w:color w:val="000000"/>
                <w:kern w:val="24"/>
                <w:sz w:val="22"/>
                <w:szCs w:val="22"/>
                <w:lang w:eastAsia="en-US"/>
              </w:rPr>
              <w:t xml:space="preserve"> DEBERÁ:</w:t>
            </w:r>
          </w:p>
          <w:p w:rsidR="003C1DAA" w:rsidRPr="001E6E91" w:rsidRDefault="00D14197" w:rsidP="00873782">
            <w:pPr>
              <w:pStyle w:val="Prrafodelista"/>
              <w:numPr>
                <w:ilvl w:val="0"/>
                <w:numId w:val="27"/>
              </w:numPr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Enviar </w:t>
            </w:r>
            <w:r w:rsidR="00C567BC" w:rsidRPr="001E6E91">
              <w:rPr>
                <w:rFonts w:ascii="Times New Roman" w:eastAsia="Times New Roman" w:hAnsi="Times New Roman"/>
                <w:color w:val="000000"/>
                <w:kern w:val="24"/>
              </w:rPr>
              <w:t>par</w:t>
            </w:r>
            <w:r w:rsidR="00BB4468" w:rsidRPr="001E6E91">
              <w:rPr>
                <w:rFonts w:ascii="Times New Roman" w:eastAsia="Times New Roman" w:hAnsi="Times New Roman"/>
                <w:color w:val="000000"/>
                <w:kern w:val="24"/>
              </w:rPr>
              <w:t>a su cumplimentación el RG-EMG-003</w:t>
            </w:r>
            <w:r w:rsidR="00C379EB" w:rsidRPr="001E6E91"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  <w:r w:rsidR="006C196B" w:rsidRPr="001E6E91">
              <w:rPr>
                <w:rFonts w:ascii="Times New Roman" w:eastAsia="Times New Roman" w:hAnsi="Times New Roman"/>
                <w:color w:val="000000"/>
                <w:kern w:val="24"/>
              </w:rPr>
              <w:t>1</w:t>
            </w:r>
            <w:r w:rsidR="00BB4468" w:rsidRPr="001E6E91">
              <w:rPr>
                <w:rFonts w:ascii="Times New Roman" w:eastAsia="Times New Roman" w:hAnsi="Times New Roman"/>
                <w:color w:val="000000"/>
                <w:kern w:val="24"/>
              </w:rPr>
              <w:t>-00</w:t>
            </w:r>
            <w:r w:rsidR="00287F1F" w:rsidRPr="001E6E91">
              <w:rPr>
                <w:rFonts w:ascii="Times New Roman" w:eastAsia="Times New Roman" w:hAnsi="Times New Roman"/>
                <w:color w:val="000000"/>
                <w:kern w:val="24"/>
              </w:rPr>
              <w:t>, indicando las observaciones que consideren necesarias.</w:t>
            </w: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</w:p>
          <w:p w:rsidR="003C1DAA" w:rsidRPr="001E6E91" w:rsidRDefault="00D14197" w:rsidP="00873782">
            <w:pPr>
              <w:pStyle w:val="Prrafodelista"/>
              <w:numPr>
                <w:ilvl w:val="0"/>
                <w:numId w:val="27"/>
              </w:numPr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>Entregar las instrucciones de seguridad</w:t>
            </w:r>
            <w:r w:rsidR="00EA403C" w:rsidRPr="001E6E91"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  <w:p w:rsidR="00287F1F" w:rsidRPr="001E6E91" w:rsidRDefault="00D14197" w:rsidP="001E6E91">
            <w:pPr>
              <w:pStyle w:val="Prrafodelista"/>
              <w:numPr>
                <w:ilvl w:val="0"/>
                <w:numId w:val="27"/>
              </w:numPr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>Facilitar aquellas</w:t>
            </w:r>
            <w:r w:rsidR="00287F1F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instrucciones </w:t>
            </w:r>
            <w:r w:rsidR="00F24903" w:rsidRPr="001E6E91">
              <w:rPr>
                <w:rFonts w:ascii="Times New Roman" w:eastAsia="Times New Roman" w:hAnsi="Times New Roman"/>
                <w:color w:val="000000"/>
                <w:kern w:val="24"/>
              </w:rPr>
              <w:t>complementarias que se hayan previsto</w:t>
            </w:r>
            <w:r w:rsidR="00287F1F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para un adecu</w:t>
            </w:r>
            <w:r w:rsidR="00F24903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ado desarrollo de la actividad que se va a </w:t>
            </w:r>
            <w:r w:rsidR="001E6E91" w:rsidRPr="001E6E91">
              <w:rPr>
                <w:rFonts w:ascii="Times New Roman" w:eastAsia="Times New Roman" w:hAnsi="Times New Roman"/>
                <w:color w:val="000000"/>
                <w:kern w:val="24"/>
              </w:rPr>
              <w:t>desarrollar:</w:t>
            </w:r>
          </w:p>
        </w:tc>
      </w:tr>
      <w:tr w:rsidR="00287F1F" w:rsidRPr="008A01B7" w:rsidTr="00BB4468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287F1F" w:rsidRPr="008A01B7" w:rsidRDefault="00161307" w:rsidP="0087378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8A01B7">
              <w:rPr>
                <w:b/>
                <w:sz w:val="22"/>
                <w:szCs w:val="22"/>
              </w:rPr>
              <w:t>B</w:t>
            </w:r>
            <w:r w:rsidR="00920BA0" w:rsidRPr="008A01B7">
              <w:rPr>
                <w:b/>
                <w:sz w:val="22"/>
                <w:szCs w:val="22"/>
              </w:rPr>
              <w:t xml:space="preserve">. </w:t>
            </w:r>
            <w:r w:rsidR="00C379EB">
              <w:rPr>
                <w:b/>
                <w:sz w:val="22"/>
                <w:szCs w:val="22"/>
              </w:rPr>
              <w:t>EL ASISTENTE HONORARIO</w:t>
            </w:r>
            <w:r w:rsidR="00B84500">
              <w:rPr>
                <w:b/>
                <w:sz w:val="22"/>
                <w:szCs w:val="22"/>
              </w:rPr>
              <w:t>,</w:t>
            </w:r>
            <w:r w:rsidR="0082250F">
              <w:rPr>
                <w:b/>
                <w:sz w:val="22"/>
                <w:szCs w:val="22"/>
              </w:rPr>
              <w:t xml:space="preserve"> </w:t>
            </w:r>
            <w:r w:rsidR="0082250F" w:rsidRPr="001E6E91">
              <w:rPr>
                <w:b/>
                <w:color w:val="000000"/>
                <w:kern w:val="24"/>
                <w:sz w:val="22"/>
                <w:szCs w:val="22"/>
                <w:lang w:eastAsia="en-US"/>
              </w:rPr>
              <w:t>DEBERÁ:</w:t>
            </w:r>
          </w:p>
          <w:p w:rsidR="003C1DAA" w:rsidRPr="008A01B7" w:rsidRDefault="00D14197" w:rsidP="00873782">
            <w:pPr>
              <w:pStyle w:val="Prrafodelista"/>
              <w:numPr>
                <w:ilvl w:val="0"/>
                <w:numId w:val="28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8A01B7">
              <w:rPr>
                <w:rFonts w:ascii="Times New Roman" w:hAnsi="Times New Roman"/>
              </w:rPr>
              <w:t xml:space="preserve">Cumplimentar y firmar </w:t>
            </w:r>
            <w:r w:rsidR="00287F1F" w:rsidRPr="008A01B7">
              <w:rPr>
                <w:rFonts w:ascii="Times New Roman" w:hAnsi="Times New Roman"/>
              </w:rPr>
              <w:t>el RG-</w:t>
            </w:r>
            <w:r w:rsidR="00BB4468" w:rsidRPr="008A01B7">
              <w:rPr>
                <w:rFonts w:ascii="Times New Roman" w:hAnsi="Times New Roman"/>
              </w:rPr>
              <w:t>EMG-003</w:t>
            </w:r>
            <w:r w:rsidR="00C379EB">
              <w:rPr>
                <w:rFonts w:ascii="Times New Roman" w:hAnsi="Times New Roman"/>
              </w:rPr>
              <w:t>.</w:t>
            </w:r>
            <w:r w:rsidR="006C196B">
              <w:rPr>
                <w:rFonts w:ascii="Times New Roman" w:hAnsi="Times New Roman"/>
              </w:rPr>
              <w:t>1</w:t>
            </w:r>
            <w:r w:rsidR="00BB4468" w:rsidRPr="008A01B7">
              <w:rPr>
                <w:rFonts w:ascii="Times New Roman" w:hAnsi="Times New Roman"/>
              </w:rPr>
              <w:t>-00</w:t>
            </w:r>
            <w:r w:rsidR="00EA403C" w:rsidRPr="008A01B7">
              <w:rPr>
                <w:rFonts w:ascii="Times New Roman" w:hAnsi="Times New Roman"/>
              </w:rPr>
              <w:t>.</w:t>
            </w:r>
          </w:p>
          <w:p w:rsidR="003C1DAA" w:rsidRPr="008A01B7" w:rsidRDefault="00A52F3C" w:rsidP="00873782">
            <w:pPr>
              <w:pStyle w:val="Prrafodelista"/>
              <w:numPr>
                <w:ilvl w:val="0"/>
                <w:numId w:val="28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8A01B7">
              <w:rPr>
                <w:rFonts w:ascii="Times New Roman" w:hAnsi="Times New Roman"/>
              </w:rPr>
              <w:t>Seguir las indicaciones e instrucciones facilitadas por el Responsable.</w:t>
            </w:r>
          </w:p>
          <w:p w:rsidR="003C0D70" w:rsidRDefault="00920BA0" w:rsidP="00873782">
            <w:pPr>
              <w:pStyle w:val="Prrafodelista"/>
              <w:numPr>
                <w:ilvl w:val="0"/>
                <w:numId w:val="28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8A01B7">
              <w:rPr>
                <w:rFonts w:ascii="Times New Roman" w:hAnsi="Times New Roman"/>
              </w:rPr>
              <w:t xml:space="preserve">Si se </w:t>
            </w:r>
            <w:r w:rsidR="00161307" w:rsidRPr="008A01B7">
              <w:rPr>
                <w:rFonts w:ascii="Times New Roman" w:hAnsi="Times New Roman"/>
              </w:rPr>
              <w:t xml:space="preserve">da una </w:t>
            </w:r>
            <w:r w:rsidR="00D13F8F" w:rsidRPr="008A01B7">
              <w:rPr>
                <w:rFonts w:ascii="Times New Roman" w:hAnsi="Times New Roman"/>
              </w:rPr>
              <w:t>situación de emergen</w:t>
            </w:r>
            <w:r w:rsidR="005C2997" w:rsidRPr="008A01B7">
              <w:rPr>
                <w:rFonts w:ascii="Times New Roman" w:hAnsi="Times New Roman"/>
              </w:rPr>
              <w:t>c</w:t>
            </w:r>
            <w:r w:rsidR="0082250F">
              <w:rPr>
                <w:rFonts w:ascii="Times New Roman" w:hAnsi="Times New Roman"/>
              </w:rPr>
              <w:t>ia, seguir las indicaciones d</w:t>
            </w:r>
            <w:r w:rsidR="00D14197" w:rsidRPr="008A01B7">
              <w:rPr>
                <w:rFonts w:ascii="Times New Roman" w:hAnsi="Times New Roman"/>
              </w:rPr>
              <w:t>e seguridad</w:t>
            </w:r>
            <w:r w:rsidR="00A52F3C" w:rsidRPr="008A01B7">
              <w:rPr>
                <w:rFonts w:ascii="Times New Roman" w:hAnsi="Times New Roman"/>
              </w:rPr>
              <w:t xml:space="preserve"> que le indiquen en el Centro.</w:t>
            </w:r>
          </w:p>
          <w:p w:rsidR="005627D8" w:rsidRPr="00873782" w:rsidRDefault="005627D8" w:rsidP="00873782">
            <w:pPr>
              <w:pStyle w:val="Prrafodelista"/>
              <w:numPr>
                <w:ilvl w:val="0"/>
                <w:numId w:val="28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5627D8">
              <w:rPr>
                <w:rFonts w:ascii="Times New Roman" w:eastAsia="Times New Roman" w:hAnsi="Times New Roman"/>
                <w:color w:val="000000"/>
                <w:kern w:val="24"/>
              </w:rPr>
              <w:t>Dispondrá de una póliza de cobertura de accidentes que pudieran ocurrir durante el desarrollo de su actividad como asistente honorario.</w:t>
            </w:r>
            <w:bookmarkStart w:id="0" w:name="_GoBack"/>
            <w:bookmarkEnd w:id="0"/>
          </w:p>
        </w:tc>
      </w:tr>
      <w:tr w:rsidR="001C10DD" w:rsidRPr="001C10DD" w:rsidTr="00BB4468">
        <w:trPr>
          <w:cantSplit/>
          <w:trHeight w:val="340"/>
        </w:trPr>
        <w:tc>
          <w:tcPr>
            <w:tcW w:w="5000" w:type="pct"/>
            <w:shd w:val="clear" w:color="auto" w:fill="D6E3BC"/>
            <w:vAlign w:val="center"/>
          </w:tcPr>
          <w:p w:rsidR="00920BA0" w:rsidRPr="001C10DD" w:rsidRDefault="00920BA0" w:rsidP="008A01B7">
            <w:pPr>
              <w:pStyle w:val="Ttulo9"/>
              <w:rPr>
                <w:b w:val="0"/>
                <w:color w:val="auto"/>
                <w:sz w:val="22"/>
                <w:szCs w:val="22"/>
              </w:rPr>
            </w:pPr>
            <w:r w:rsidRPr="001C10DD">
              <w:rPr>
                <w:color w:val="auto"/>
                <w:sz w:val="22"/>
                <w:szCs w:val="22"/>
                <w:u w:val="none"/>
              </w:rPr>
              <w:t>ANEXOS</w:t>
            </w:r>
          </w:p>
        </w:tc>
      </w:tr>
      <w:tr w:rsidR="00E9046F" w:rsidRPr="008A01B7" w:rsidTr="00E9046F">
        <w:trPr>
          <w:cantSplit/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3C1DAA" w:rsidRPr="001E6E91" w:rsidRDefault="00E9046F" w:rsidP="00873782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kern w:val="24"/>
              </w:rPr>
            </w:pP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>RG-</w:t>
            </w:r>
            <w:r w:rsidR="00443205" w:rsidRPr="001E6E91">
              <w:rPr>
                <w:rFonts w:ascii="Times New Roman" w:eastAsia="Times New Roman" w:hAnsi="Times New Roman"/>
                <w:color w:val="000000"/>
                <w:kern w:val="24"/>
              </w:rPr>
              <w:t>EM</w:t>
            </w:r>
            <w:r w:rsidR="00E45E10" w:rsidRPr="001E6E91">
              <w:rPr>
                <w:rFonts w:ascii="Times New Roman" w:eastAsia="Times New Roman" w:hAnsi="Times New Roman"/>
                <w:color w:val="000000"/>
                <w:kern w:val="24"/>
              </w:rPr>
              <w:t>G</w:t>
            </w:r>
            <w:r w:rsidR="00443205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  <w:r w:rsidR="00BB4468" w:rsidRPr="001E6E91">
              <w:rPr>
                <w:rFonts w:ascii="Times New Roman" w:eastAsia="Times New Roman" w:hAnsi="Times New Roman"/>
                <w:color w:val="000000"/>
                <w:kern w:val="24"/>
              </w:rPr>
              <w:t>00</w:t>
            </w:r>
            <w:r w:rsidR="00873782" w:rsidRPr="001E6E91">
              <w:rPr>
                <w:rFonts w:ascii="Times New Roman" w:eastAsia="Times New Roman" w:hAnsi="Times New Roman"/>
                <w:color w:val="000000"/>
                <w:kern w:val="24"/>
              </w:rPr>
              <w:t>3.</w:t>
            </w:r>
            <w:r w:rsidR="006C196B" w:rsidRPr="001E6E91">
              <w:rPr>
                <w:rFonts w:ascii="Times New Roman" w:eastAsia="Times New Roman" w:hAnsi="Times New Roman"/>
                <w:color w:val="000000"/>
                <w:kern w:val="24"/>
              </w:rPr>
              <w:t>1</w:t>
            </w:r>
            <w:r w:rsidR="00873782" w:rsidRPr="001E6E91">
              <w:rPr>
                <w:rFonts w:ascii="Times New Roman" w:eastAsia="Times New Roman" w:hAnsi="Times New Roman"/>
                <w:color w:val="000000"/>
                <w:kern w:val="24"/>
              </w:rPr>
              <w:t>-</w:t>
            </w:r>
            <w:r w:rsidR="00A16469" w:rsidRPr="001E6E91">
              <w:rPr>
                <w:rFonts w:ascii="Times New Roman" w:eastAsia="Times New Roman" w:hAnsi="Times New Roman"/>
                <w:color w:val="000000"/>
                <w:kern w:val="24"/>
              </w:rPr>
              <w:t>00</w:t>
            </w:r>
            <w:r w:rsidR="00C379EB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  <w:r w:rsidR="00873782" w:rsidRPr="001E6E91">
              <w:rPr>
                <w:rFonts w:ascii="Times New Roman" w:eastAsia="Times New Roman" w:hAnsi="Times New Roman"/>
                <w:color w:val="000000"/>
                <w:kern w:val="24"/>
              </w:rPr>
              <w:t>Recepción de asistentes honorarios en despachos y zonas comunes de la Universidad de Sevilla.</w:t>
            </w:r>
          </w:p>
          <w:p w:rsidR="00FA5C8E" w:rsidRPr="008A01B7" w:rsidRDefault="00FA5C8E" w:rsidP="00873782">
            <w:pPr>
              <w:pStyle w:val="Prrafodelista"/>
              <w:numPr>
                <w:ilvl w:val="0"/>
                <w:numId w:val="29"/>
              </w:numPr>
              <w:spacing w:before="120" w:after="120" w:line="240" w:lineRule="auto"/>
              <w:ind w:left="714" w:hanging="357"/>
              <w:jc w:val="both"/>
            </w:pPr>
            <w:r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Tríptico: </w:t>
            </w:r>
            <w:r w:rsidR="00D14197" w:rsidRPr="001E6E91">
              <w:rPr>
                <w:rFonts w:ascii="Times New Roman" w:eastAsia="Times New Roman" w:hAnsi="Times New Roman"/>
                <w:color w:val="000000"/>
                <w:kern w:val="24"/>
              </w:rPr>
              <w:t>Instrucciones de se</w:t>
            </w:r>
            <w:r w:rsidR="00C379EB" w:rsidRPr="001E6E91">
              <w:rPr>
                <w:rFonts w:ascii="Times New Roman" w:eastAsia="Times New Roman" w:hAnsi="Times New Roman"/>
                <w:color w:val="000000"/>
                <w:kern w:val="24"/>
              </w:rPr>
              <w:t>guridad para asistentes honorarios</w:t>
            </w:r>
            <w:r w:rsidR="00BC5FF6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en</w:t>
            </w:r>
            <w:r w:rsidR="00873782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  <w:r w:rsidR="006C196B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despachos y </w:t>
            </w:r>
            <w:r w:rsidR="00873782" w:rsidRPr="001E6E91">
              <w:rPr>
                <w:rFonts w:ascii="Times New Roman" w:eastAsia="Times New Roman" w:hAnsi="Times New Roman"/>
                <w:color w:val="000000"/>
                <w:kern w:val="24"/>
              </w:rPr>
              <w:t>zonas comunes</w:t>
            </w:r>
            <w:r w:rsidR="00BC5FF6" w:rsidRPr="001E6E91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  <w:r w:rsidR="00873782" w:rsidRPr="001E6E91">
              <w:rPr>
                <w:rFonts w:ascii="Times New Roman" w:eastAsia="Times New Roman" w:hAnsi="Times New Roman"/>
                <w:color w:val="000000"/>
                <w:kern w:val="24"/>
              </w:rPr>
              <w:t>d</w:t>
            </w:r>
            <w:r w:rsidR="00BC5FF6" w:rsidRPr="001E6E91">
              <w:rPr>
                <w:rFonts w:ascii="Times New Roman" w:eastAsia="Times New Roman" w:hAnsi="Times New Roman"/>
                <w:color w:val="000000"/>
                <w:kern w:val="24"/>
              </w:rPr>
              <w:t>el Centro</w:t>
            </w:r>
            <w:r w:rsidR="00873782" w:rsidRPr="001E6E91"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</w:tr>
    </w:tbl>
    <w:p w:rsidR="00287F1F" w:rsidRDefault="00287F1F"/>
    <w:p w:rsidR="00A10A22" w:rsidRDefault="002D5035" w:rsidP="0087378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873782" w:rsidRPr="005B7AAD">
        <w:rPr>
          <w:b/>
          <w:sz w:val="32"/>
          <w:szCs w:val="32"/>
          <w:u w:val="single"/>
        </w:rPr>
        <w:lastRenderedPageBreak/>
        <w:t>ANEXO</w:t>
      </w:r>
      <w:r w:rsidR="00873782">
        <w:rPr>
          <w:b/>
          <w:sz w:val="32"/>
          <w:szCs w:val="32"/>
          <w:u w:val="single"/>
        </w:rPr>
        <w:t xml:space="preserve"> I</w:t>
      </w:r>
    </w:p>
    <w:p w:rsidR="00052623" w:rsidRPr="00052623" w:rsidRDefault="0009325D" w:rsidP="0087378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399472" cy="7632000"/>
            <wp:effectExtent l="19050" t="19050" r="10795" b="266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G EMG 003.1-00 RECEPCIÓN ASISTENTES HONORARIOS DESPACHOS Y ZONAS COMUNES 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72" cy="763200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0A22" w:rsidRDefault="00A10A22" w:rsidP="00A10A22">
      <w:pPr>
        <w:jc w:val="center"/>
        <w:rPr>
          <w:b/>
          <w:sz w:val="32"/>
          <w:szCs w:val="32"/>
          <w:u w:val="single"/>
        </w:rPr>
      </w:pPr>
      <w:r w:rsidRPr="00A10A22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EECBB02" wp14:editId="3ACF3350">
            <wp:simplePos x="0" y="0"/>
            <wp:positionH relativeFrom="column">
              <wp:posOffset>152400</wp:posOffset>
            </wp:positionH>
            <wp:positionV relativeFrom="paragraph">
              <wp:posOffset>4114800</wp:posOffset>
            </wp:positionV>
            <wp:extent cx="5435600" cy="3763010"/>
            <wp:effectExtent l="0" t="0" r="0" b="889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apositiv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AAD">
        <w:rPr>
          <w:b/>
          <w:sz w:val="32"/>
          <w:szCs w:val="32"/>
          <w:u w:val="single"/>
        </w:rPr>
        <w:t>ANEXO</w:t>
      </w:r>
      <w:r>
        <w:rPr>
          <w:b/>
          <w:sz w:val="32"/>
          <w:szCs w:val="32"/>
          <w:u w:val="single"/>
        </w:rPr>
        <w:t xml:space="preserve"> II</w:t>
      </w:r>
    </w:p>
    <w:p w:rsidR="001807D5" w:rsidRDefault="00B84500">
      <w:pPr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54610</wp:posOffset>
            </wp:positionV>
            <wp:extent cx="5435600" cy="37630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positiv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A22">
        <w:br w:type="page"/>
      </w:r>
      <w:r w:rsidR="0009325D">
        <w:rPr>
          <w:noProof/>
          <w:sz w:val="20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436000" cy="3763524"/>
            <wp:effectExtent l="0" t="0" r="0" b="889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iapositiva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0" cy="3763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7D5" w:rsidSect="00873782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1440" w:bottom="1440" w:left="1440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E9" w:rsidRDefault="00DF45E9">
      <w:r>
        <w:separator/>
      </w:r>
    </w:p>
  </w:endnote>
  <w:endnote w:type="continuationSeparator" w:id="0">
    <w:p w:rsidR="00DF45E9" w:rsidRDefault="00DF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65C" w:rsidRDefault="008A09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66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665C" w:rsidRDefault="00BC665C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12" w:rsidRPr="00161307" w:rsidRDefault="00EF7912" w:rsidP="00161307">
    <w:pPr>
      <w:pStyle w:val="Piedepgina"/>
      <w:tabs>
        <w:tab w:val="right" w:pos="9923"/>
      </w:tabs>
      <w:ind w:right="-33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E9" w:rsidRDefault="00DF45E9">
      <w:r>
        <w:separator/>
      </w:r>
    </w:p>
  </w:footnote>
  <w:footnote w:type="continuationSeparator" w:id="0">
    <w:p w:rsidR="00DF45E9" w:rsidRDefault="00DF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1F" w:rsidRPr="00287F1F" w:rsidRDefault="00287F1F">
    <w:pPr>
      <w:pStyle w:val="Encabezado"/>
      <w:rPr>
        <w:sz w:val="16"/>
        <w:szCs w:val="16"/>
      </w:rPr>
    </w:pPr>
  </w:p>
  <w:tbl>
    <w:tblPr>
      <w:tblW w:w="5038" w:type="pct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529"/>
      <w:gridCol w:w="5103"/>
      <w:gridCol w:w="1416"/>
    </w:tblGrid>
    <w:tr w:rsidR="004824DF" w:rsidRPr="002D603D" w:rsidTr="004824DF">
      <w:trPr>
        <w:cantSplit/>
        <w:trHeight w:val="1134"/>
        <w:jc w:val="center"/>
      </w:trPr>
      <w:tc>
        <w:tcPr>
          <w:tcW w:w="2529" w:type="dxa"/>
          <w:vMerge w:val="restart"/>
          <w:noWrap/>
          <w:vAlign w:val="center"/>
        </w:tcPr>
        <w:p w:rsidR="004824DF" w:rsidRPr="00700B81" w:rsidRDefault="004824DF" w:rsidP="004824DF">
          <w:pPr>
            <w:widowControl w:val="0"/>
            <w:contextualSpacing/>
            <w:jc w:val="center"/>
            <w:rPr>
              <w:rFonts w:ascii="Verdana" w:hAnsi="Verdana"/>
              <w:b/>
              <w:bCs/>
              <w:color w:val="990033"/>
              <w:sz w:val="18"/>
              <w:szCs w:val="18"/>
            </w:rPr>
          </w:pPr>
          <w:r w:rsidRPr="00AD5C2C">
            <w:rPr>
              <w:rFonts w:ascii="Verdana" w:hAnsi="Verdana"/>
              <w:b/>
              <w:noProof/>
              <w:color w:val="990033"/>
              <w:sz w:val="18"/>
              <w:szCs w:val="18"/>
            </w:rPr>
            <w:drawing>
              <wp:inline distT="0" distB="0" distL="0" distR="0" wp14:anchorId="3D3B7208" wp14:editId="2C926404">
                <wp:extent cx="1475105" cy="1078230"/>
                <wp:effectExtent l="0" t="0" r="0" b="7620"/>
                <wp:docPr id="1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C379EB" w:rsidRDefault="00C379EB" w:rsidP="004824DF">
          <w:pPr>
            <w:widowControl w:val="0"/>
            <w:contextualSpacing/>
            <w:jc w:val="center"/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</w:pPr>
          <w:r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  <w:t xml:space="preserve">RECEPCIÓN DE ASISTENTES </w:t>
          </w:r>
        </w:p>
        <w:p w:rsidR="00C379EB" w:rsidRDefault="00C379EB" w:rsidP="004824DF">
          <w:pPr>
            <w:widowControl w:val="0"/>
            <w:contextualSpacing/>
            <w:jc w:val="center"/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</w:pPr>
          <w:r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  <w:t>HONORARIOS</w:t>
          </w:r>
          <w:r w:rsidR="004824DF"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  <w:t xml:space="preserve"> EN L</w:t>
          </w:r>
          <w:r w:rsidR="006C196B"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  <w:t>O</w:t>
          </w:r>
          <w:r w:rsidR="004824DF"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  <w:t>S</w:t>
          </w:r>
          <w:r w:rsidR="006C196B"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  <w:t xml:space="preserve"> DESPACHOS Y ZONAS COMUNES </w:t>
          </w:r>
          <w:r w:rsidR="004824DF"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  <w:t xml:space="preserve">DE LA </w:t>
          </w:r>
        </w:p>
        <w:p w:rsidR="004824DF" w:rsidRPr="006A61FE" w:rsidRDefault="004824DF" w:rsidP="004824DF">
          <w:pPr>
            <w:widowControl w:val="0"/>
            <w:contextualSpacing/>
            <w:jc w:val="center"/>
            <w:rPr>
              <w:b/>
              <w:color w:val="800000"/>
              <w:sz w:val="32"/>
              <w:szCs w:val="32"/>
              <w:lang w:val="es-ES_tradnl"/>
            </w:rPr>
          </w:pPr>
          <w:r>
            <w:rPr>
              <w:rFonts w:ascii="Arial" w:hAnsi="Arial" w:cs="Arial"/>
              <w:b/>
              <w:color w:val="800000"/>
              <w:sz w:val="28"/>
              <w:szCs w:val="32"/>
              <w:lang w:val="es-ES_tradnl"/>
            </w:rPr>
            <w:t>UNIVERSIDAD DE SEVILLA</w:t>
          </w:r>
        </w:p>
      </w:tc>
      <w:tc>
        <w:tcPr>
          <w:tcW w:w="1416" w:type="dxa"/>
          <w:shd w:val="clear" w:color="auto" w:fill="A8D08D"/>
          <w:noWrap/>
          <w:vAlign w:val="center"/>
        </w:tcPr>
        <w:p w:rsidR="004824DF" w:rsidRDefault="004824DF" w:rsidP="004824DF">
          <w:pPr>
            <w:widowControl w:val="0"/>
            <w:shd w:val="clear" w:color="auto" w:fill="A8D08D"/>
            <w:tabs>
              <w:tab w:val="center" w:pos="829"/>
              <w:tab w:val="left" w:pos="864"/>
              <w:tab w:val="left" w:pos="1152"/>
              <w:tab w:val="left" w:pos="1440"/>
              <w:tab w:val="left" w:pos="1728"/>
              <w:tab w:val="left" w:pos="2016"/>
              <w:tab w:val="left" w:pos="2304"/>
              <w:tab w:val="left" w:pos="2592"/>
              <w:tab w:val="left" w:pos="2880"/>
              <w:tab w:val="left" w:pos="3168"/>
              <w:tab w:val="left" w:pos="3456"/>
              <w:tab w:val="left" w:pos="3744"/>
              <w:tab w:val="left" w:pos="4032"/>
              <w:tab w:val="left" w:pos="4320"/>
              <w:tab w:val="left" w:pos="4608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contextualSpacing/>
            <w:jc w:val="center"/>
            <w:rPr>
              <w:rFonts w:ascii="Arial" w:hAnsi="Arial" w:cs="Arial"/>
              <w:b/>
              <w:color w:val="800000"/>
              <w:sz w:val="32"/>
              <w:szCs w:val="32"/>
              <w:lang w:val="es-ES_tradnl"/>
            </w:rPr>
          </w:pPr>
          <w:r>
            <w:rPr>
              <w:rFonts w:ascii="Arial" w:hAnsi="Arial" w:cs="Arial"/>
              <w:b/>
              <w:color w:val="800000"/>
              <w:sz w:val="32"/>
              <w:szCs w:val="32"/>
              <w:lang w:val="es-ES_tradnl"/>
            </w:rPr>
            <w:t>IO EMG</w:t>
          </w:r>
        </w:p>
        <w:p w:rsidR="00356FC0" w:rsidRPr="004824DF" w:rsidRDefault="00356FC0" w:rsidP="006C196B">
          <w:pPr>
            <w:widowControl w:val="0"/>
            <w:tabs>
              <w:tab w:val="center" w:pos="829"/>
              <w:tab w:val="left" w:pos="864"/>
              <w:tab w:val="left" w:pos="1152"/>
              <w:tab w:val="left" w:pos="1440"/>
              <w:tab w:val="left" w:pos="1728"/>
              <w:tab w:val="left" w:pos="2016"/>
              <w:tab w:val="left" w:pos="2304"/>
              <w:tab w:val="left" w:pos="2592"/>
              <w:tab w:val="left" w:pos="2880"/>
              <w:tab w:val="left" w:pos="3168"/>
              <w:tab w:val="left" w:pos="3456"/>
              <w:tab w:val="left" w:pos="3744"/>
              <w:tab w:val="left" w:pos="4032"/>
              <w:tab w:val="left" w:pos="4320"/>
              <w:tab w:val="left" w:pos="4608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contextualSpacing/>
            <w:jc w:val="center"/>
            <w:rPr>
              <w:rFonts w:ascii="Arial" w:hAnsi="Arial" w:cs="Arial"/>
              <w:b/>
              <w:color w:val="800000"/>
              <w:sz w:val="32"/>
              <w:szCs w:val="32"/>
              <w:lang w:val="es-ES_tradnl"/>
            </w:rPr>
          </w:pPr>
          <w:r>
            <w:rPr>
              <w:rFonts w:ascii="Arial" w:hAnsi="Arial" w:cs="Arial"/>
              <w:b/>
              <w:color w:val="800000"/>
              <w:sz w:val="32"/>
              <w:szCs w:val="32"/>
              <w:lang w:val="es-ES_tradnl"/>
            </w:rPr>
            <w:t>002</w:t>
          </w:r>
          <w:r w:rsidR="00C379EB">
            <w:rPr>
              <w:rFonts w:ascii="Arial" w:hAnsi="Arial" w:cs="Arial"/>
              <w:b/>
              <w:color w:val="800000"/>
              <w:sz w:val="32"/>
              <w:szCs w:val="32"/>
              <w:lang w:val="es-ES_tradnl"/>
            </w:rPr>
            <w:t>.</w:t>
          </w:r>
          <w:r w:rsidR="006C196B">
            <w:rPr>
              <w:rFonts w:ascii="Arial" w:hAnsi="Arial" w:cs="Arial"/>
              <w:b/>
              <w:color w:val="800000"/>
              <w:sz w:val="32"/>
              <w:szCs w:val="32"/>
              <w:lang w:val="es-ES_tradnl"/>
            </w:rPr>
            <w:t>1</w:t>
          </w:r>
          <w:r w:rsidR="00BC5FF6">
            <w:rPr>
              <w:rFonts w:ascii="Arial" w:hAnsi="Arial" w:cs="Arial"/>
              <w:b/>
              <w:color w:val="800000"/>
              <w:sz w:val="32"/>
              <w:szCs w:val="32"/>
              <w:lang w:val="es-ES_tradnl"/>
            </w:rPr>
            <w:t>-00</w:t>
          </w:r>
        </w:p>
      </w:tc>
    </w:tr>
    <w:tr w:rsidR="004824DF" w:rsidTr="004824DF">
      <w:trPr>
        <w:cantSplit/>
        <w:trHeight w:val="567"/>
        <w:jc w:val="center"/>
      </w:trPr>
      <w:tc>
        <w:tcPr>
          <w:tcW w:w="2529" w:type="dxa"/>
          <w:vMerge/>
          <w:noWrap/>
          <w:vAlign w:val="center"/>
        </w:tcPr>
        <w:p w:rsidR="004824DF" w:rsidRDefault="004824DF" w:rsidP="004824DF">
          <w:pPr>
            <w:pStyle w:val="Encabezado"/>
            <w:widowControl w:val="0"/>
            <w:tabs>
              <w:tab w:val="left" w:pos="-1440"/>
              <w:tab w:val="left" w:pos="-720"/>
              <w:tab w:val="left" w:pos="0"/>
              <w:tab w:val="left" w:pos="288"/>
              <w:tab w:val="left" w:pos="576"/>
              <w:tab w:val="left" w:pos="864"/>
              <w:tab w:val="left" w:pos="1152"/>
              <w:tab w:val="left" w:pos="1440"/>
              <w:tab w:val="left" w:pos="1728"/>
              <w:tab w:val="left" w:pos="2016"/>
              <w:tab w:val="left" w:pos="2304"/>
              <w:tab w:val="left" w:pos="2592"/>
              <w:tab w:val="left" w:pos="2880"/>
              <w:tab w:val="left" w:pos="3168"/>
              <w:tab w:val="left" w:pos="3456"/>
              <w:tab w:val="left" w:pos="3744"/>
              <w:tab w:val="left" w:pos="4032"/>
              <w:tab w:val="left" w:pos="4320"/>
              <w:tab w:val="left" w:pos="4608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contextualSpacing/>
            <w:jc w:val="center"/>
            <w:rPr>
              <w:rFonts w:ascii="Arial" w:hAnsi="Arial" w:cs="Arial"/>
              <w:lang w:val="es-ES_tradnl" w:eastAsia="es-ES"/>
            </w:rPr>
          </w:pPr>
        </w:p>
      </w:tc>
      <w:tc>
        <w:tcPr>
          <w:tcW w:w="5103" w:type="dxa"/>
          <w:vAlign w:val="center"/>
        </w:tcPr>
        <w:p w:rsidR="004824DF" w:rsidRDefault="004824DF" w:rsidP="004824DF">
          <w:pPr>
            <w:pStyle w:val="Encabezado"/>
            <w:widowControl w:val="0"/>
            <w:tabs>
              <w:tab w:val="clear" w:pos="4252"/>
              <w:tab w:val="clear" w:pos="8504"/>
            </w:tabs>
            <w:contextualSpacing/>
            <w:jc w:val="center"/>
            <w:rPr>
              <w:rFonts w:ascii="Arial" w:hAnsi="Arial" w:cs="Arial"/>
              <w:lang w:val="es-ES_tradnl" w:eastAsia="es-ES"/>
            </w:rPr>
          </w:pPr>
          <w:r>
            <w:rPr>
              <w:rFonts w:ascii="Arial" w:hAnsi="Arial" w:cs="Arial"/>
              <w:lang w:val="es-ES_tradnl" w:eastAsia="es-ES"/>
            </w:rPr>
            <w:t>PRC-12-01</w:t>
          </w:r>
        </w:p>
      </w:tc>
      <w:tc>
        <w:tcPr>
          <w:tcW w:w="1416" w:type="dxa"/>
          <w:noWrap/>
          <w:vAlign w:val="center"/>
        </w:tcPr>
        <w:p w:rsidR="004824DF" w:rsidRPr="009369E7" w:rsidRDefault="004824DF" w:rsidP="004824DF">
          <w:pPr>
            <w:widowControl w:val="0"/>
            <w:contextualSpacing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sz w:val="20"/>
              <w:szCs w:val="20"/>
              <w:lang w:val="es-ES_tradnl"/>
            </w:rPr>
            <w:t xml:space="preserve">Pág. </w:t>
          </w:r>
          <w:r>
            <w:rPr>
              <w:rFonts w:ascii="Arial" w:hAnsi="Arial" w:cs="Arial"/>
              <w:sz w:val="20"/>
              <w:szCs w:val="20"/>
              <w:lang w:val="es-ES_tradnl"/>
            </w:rPr>
            <w:fldChar w:fldCharType="begin"/>
          </w:r>
          <w:r>
            <w:rPr>
              <w:rFonts w:ascii="Arial" w:hAnsi="Arial" w:cs="Arial"/>
              <w:sz w:val="20"/>
              <w:szCs w:val="20"/>
              <w:lang w:val="es-ES_tradnl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  <w:lang w:val="es-ES_tradnl"/>
            </w:rPr>
            <w:fldChar w:fldCharType="separate"/>
          </w:r>
          <w:r w:rsidR="005627D8">
            <w:rPr>
              <w:rFonts w:ascii="Arial" w:hAnsi="Arial" w:cs="Arial"/>
              <w:noProof/>
              <w:sz w:val="20"/>
              <w:szCs w:val="20"/>
              <w:lang w:val="es-ES_tradnl"/>
            </w:rPr>
            <w:t>2</w:t>
          </w:r>
          <w:r>
            <w:rPr>
              <w:rFonts w:ascii="Arial" w:hAnsi="Arial" w:cs="Arial"/>
              <w:sz w:val="20"/>
              <w:szCs w:val="20"/>
              <w:lang w:val="es-ES_tradnl"/>
            </w:rPr>
            <w:fldChar w:fldCharType="end"/>
          </w:r>
          <w:r>
            <w:rPr>
              <w:rFonts w:ascii="Arial" w:hAnsi="Arial" w:cs="Arial"/>
              <w:sz w:val="20"/>
              <w:szCs w:val="20"/>
              <w:lang w:val="es-ES_tradnl"/>
            </w:rPr>
            <w:t xml:space="preserve"> de </w:t>
          </w:r>
          <w:r w:rsidR="004F5518">
            <w:rPr>
              <w:rFonts w:ascii="Arial" w:hAnsi="Arial" w:cs="Arial"/>
              <w:noProof/>
              <w:sz w:val="20"/>
              <w:szCs w:val="20"/>
              <w:lang w:val="es-ES_tradnl"/>
            </w:rPr>
            <w:fldChar w:fldCharType="begin"/>
          </w:r>
          <w:r w:rsidR="004F5518">
            <w:rPr>
              <w:rFonts w:ascii="Arial" w:hAnsi="Arial" w:cs="Arial"/>
              <w:noProof/>
              <w:sz w:val="20"/>
              <w:szCs w:val="20"/>
              <w:lang w:val="es-ES_tradnl"/>
            </w:rPr>
            <w:instrText xml:space="preserve"> NUMPAGES   \* MERGEFORMAT </w:instrText>
          </w:r>
          <w:r w:rsidR="004F5518">
            <w:rPr>
              <w:rFonts w:ascii="Arial" w:hAnsi="Arial" w:cs="Arial"/>
              <w:noProof/>
              <w:sz w:val="20"/>
              <w:szCs w:val="20"/>
              <w:lang w:val="es-ES_tradnl"/>
            </w:rPr>
            <w:fldChar w:fldCharType="separate"/>
          </w:r>
          <w:r w:rsidR="005627D8">
            <w:rPr>
              <w:rFonts w:ascii="Arial" w:hAnsi="Arial" w:cs="Arial"/>
              <w:noProof/>
              <w:sz w:val="20"/>
              <w:szCs w:val="20"/>
              <w:lang w:val="es-ES_tradnl"/>
            </w:rPr>
            <w:t>5</w:t>
          </w:r>
          <w:r w:rsidR="004F5518">
            <w:rPr>
              <w:rFonts w:ascii="Arial" w:hAnsi="Arial" w:cs="Arial"/>
              <w:noProof/>
              <w:sz w:val="20"/>
              <w:szCs w:val="20"/>
              <w:lang w:val="es-ES_tradnl"/>
            </w:rPr>
            <w:fldChar w:fldCharType="end"/>
          </w:r>
        </w:p>
      </w:tc>
    </w:tr>
  </w:tbl>
  <w:p w:rsidR="00287F1F" w:rsidRDefault="004A0ADA">
    <w:pPr>
      <w:pStyle w:val="Encabezado"/>
    </w:pPr>
    <w:r w:rsidRPr="00BC0A13">
      <w:rPr>
        <w:rFonts w:ascii="Arial" w:hAnsi="Arial" w:cs="Arial"/>
        <w:b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21A677" wp14:editId="54FC1143">
              <wp:simplePos x="0" y="0"/>
              <wp:positionH relativeFrom="column">
                <wp:posOffset>-533400</wp:posOffset>
              </wp:positionH>
              <wp:positionV relativeFrom="paragraph">
                <wp:posOffset>3561715</wp:posOffset>
              </wp:positionV>
              <wp:extent cx="360680" cy="996950"/>
              <wp:effectExtent l="19050" t="19050" r="39370" b="508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9969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4A0ADA" w:rsidRPr="00E275F8" w:rsidRDefault="004A0ADA" w:rsidP="004A0A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Julio   2019</w:t>
                          </w:r>
                        </w:p>
                        <w:p w:rsidR="004A0ADA" w:rsidRPr="0076054F" w:rsidRDefault="004A0ADA" w:rsidP="004A0AD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1A6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2pt;margin-top:280.45pt;width:28.4pt;height: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" fillcolor="#a8d08d [1945]" strokecolor="#f2f2f2" strokeweight="3pt">
              <v:shadow on="t" color="#205867" opacity=".5" offset="1pt"/>
              <v:textbox style="layout-flow:vertical">
                <w:txbxContent>
                  <w:p w:rsidR="004A0ADA" w:rsidRPr="00E275F8" w:rsidRDefault="004A0ADA" w:rsidP="004A0AD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Julio   2019</w:t>
                    </w:r>
                  </w:p>
                  <w:p w:rsidR="004A0ADA" w:rsidRPr="0076054F" w:rsidRDefault="004A0ADA" w:rsidP="004A0AD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1BE4"/>
    <w:multiLevelType w:val="hybridMultilevel"/>
    <w:tmpl w:val="F4366A44"/>
    <w:lvl w:ilvl="0" w:tplc="26DA04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E3B98"/>
    <w:multiLevelType w:val="hybridMultilevel"/>
    <w:tmpl w:val="8E9ED22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0AC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B6F23"/>
    <w:multiLevelType w:val="hybridMultilevel"/>
    <w:tmpl w:val="B03A2D0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A1274"/>
    <w:multiLevelType w:val="hybridMultilevel"/>
    <w:tmpl w:val="30E29504"/>
    <w:lvl w:ilvl="0" w:tplc="0C0A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E5594"/>
    <w:multiLevelType w:val="hybridMultilevel"/>
    <w:tmpl w:val="6C463C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E7BDB"/>
    <w:multiLevelType w:val="hybridMultilevel"/>
    <w:tmpl w:val="01A202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233EA"/>
    <w:multiLevelType w:val="hybridMultilevel"/>
    <w:tmpl w:val="1E481752"/>
    <w:lvl w:ilvl="0" w:tplc="AD0C20F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48C4"/>
    <w:multiLevelType w:val="hybridMultilevel"/>
    <w:tmpl w:val="87F8BC6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D8772E"/>
    <w:multiLevelType w:val="hybridMultilevel"/>
    <w:tmpl w:val="F23C75C8"/>
    <w:lvl w:ilvl="0" w:tplc="EF3EC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D5718A"/>
    <w:multiLevelType w:val="hybridMultilevel"/>
    <w:tmpl w:val="FA6ED21C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264D6"/>
    <w:multiLevelType w:val="hybridMultilevel"/>
    <w:tmpl w:val="835A8BDA"/>
    <w:lvl w:ilvl="0" w:tplc="F3FCC122">
      <w:start w:val="1"/>
      <w:numFmt w:val="bullet"/>
      <w:lvlText w:val="-"/>
      <w:lvlJc w:val="left"/>
      <w:pPr>
        <w:ind w:left="720" w:hanging="360"/>
      </w:pPr>
      <w:rPr>
        <w:rFonts w:ascii="Wide Latin" w:hAnsi="Wide Latin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2D29"/>
    <w:multiLevelType w:val="hybridMultilevel"/>
    <w:tmpl w:val="6B889A18"/>
    <w:lvl w:ilvl="0" w:tplc="E2686DDE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0F4E"/>
    <w:multiLevelType w:val="hybridMultilevel"/>
    <w:tmpl w:val="90B616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C31BE"/>
    <w:multiLevelType w:val="hybridMultilevel"/>
    <w:tmpl w:val="0B58A8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65564"/>
    <w:multiLevelType w:val="hybridMultilevel"/>
    <w:tmpl w:val="98243A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A746A"/>
    <w:multiLevelType w:val="hybridMultilevel"/>
    <w:tmpl w:val="BF163C2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22BF5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75436F"/>
    <w:multiLevelType w:val="hybridMultilevel"/>
    <w:tmpl w:val="D026D81E"/>
    <w:lvl w:ilvl="0" w:tplc="F3FCC122">
      <w:start w:val="1"/>
      <w:numFmt w:val="bullet"/>
      <w:lvlText w:val="-"/>
      <w:lvlJc w:val="left"/>
      <w:pPr>
        <w:ind w:left="1071" w:hanging="360"/>
      </w:pPr>
      <w:rPr>
        <w:rFonts w:ascii="Wide Latin" w:hAnsi="Wide Latin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 w15:restartNumberingAfterBreak="0">
    <w:nsid w:val="3EAF7703"/>
    <w:multiLevelType w:val="hybridMultilevel"/>
    <w:tmpl w:val="A7BAFE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294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205AA"/>
    <w:multiLevelType w:val="hybridMultilevel"/>
    <w:tmpl w:val="F752900C"/>
    <w:lvl w:ilvl="0" w:tplc="F3FCC122">
      <w:start w:val="1"/>
      <w:numFmt w:val="bullet"/>
      <w:lvlText w:val="-"/>
      <w:lvlJc w:val="left"/>
      <w:pPr>
        <w:ind w:left="720" w:hanging="360"/>
      </w:pPr>
      <w:rPr>
        <w:rFonts w:ascii="Wide Latin" w:hAnsi="Wide Latin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30B5"/>
    <w:multiLevelType w:val="hybridMultilevel"/>
    <w:tmpl w:val="4D9016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226EC"/>
    <w:multiLevelType w:val="hybridMultilevel"/>
    <w:tmpl w:val="B83C75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1769D"/>
    <w:multiLevelType w:val="hybridMultilevel"/>
    <w:tmpl w:val="766A4E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558D8"/>
    <w:multiLevelType w:val="multilevel"/>
    <w:tmpl w:val="B90EE1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845B4E"/>
    <w:multiLevelType w:val="hybridMultilevel"/>
    <w:tmpl w:val="3D2C478A"/>
    <w:lvl w:ilvl="0" w:tplc="DBC46C2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B42E4"/>
    <w:multiLevelType w:val="hybridMultilevel"/>
    <w:tmpl w:val="E6FE20B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80342"/>
    <w:multiLevelType w:val="hybridMultilevel"/>
    <w:tmpl w:val="589E1164"/>
    <w:lvl w:ilvl="0" w:tplc="B938471C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46558A"/>
    <w:multiLevelType w:val="hybridMultilevel"/>
    <w:tmpl w:val="B04CCE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2F5043"/>
    <w:multiLevelType w:val="hybridMultilevel"/>
    <w:tmpl w:val="CF52100C"/>
    <w:lvl w:ilvl="0" w:tplc="69BE34D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549A1"/>
    <w:multiLevelType w:val="hybridMultilevel"/>
    <w:tmpl w:val="888A871C"/>
    <w:lvl w:ilvl="0" w:tplc="3ED6E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4"/>
  </w:num>
  <w:num w:numId="5">
    <w:abstractNumId w:val="13"/>
  </w:num>
  <w:num w:numId="6">
    <w:abstractNumId w:val="12"/>
  </w:num>
  <w:num w:numId="7">
    <w:abstractNumId w:val="20"/>
  </w:num>
  <w:num w:numId="8">
    <w:abstractNumId w:val="8"/>
  </w:num>
  <w:num w:numId="9">
    <w:abstractNumId w:val="17"/>
  </w:num>
  <w:num w:numId="10">
    <w:abstractNumId w:val="14"/>
  </w:num>
  <w:num w:numId="11">
    <w:abstractNumId w:val="21"/>
  </w:num>
  <w:num w:numId="12">
    <w:abstractNumId w:val="15"/>
  </w:num>
  <w:num w:numId="13">
    <w:abstractNumId w:val="7"/>
  </w:num>
  <w:num w:numId="14">
    <w:abstractNumId w:val="3"/>
  </w:num>
  <w:num w:numId="15">
    <w:abstractNumId w:val="6"/>
  </w:num>
  <w:num w:numId="16">
    <w:abstractNumId w:val="25"/>
  </w:num>
  <w:num w:numId="17">
    <w:abstractNumId w:val="19"/>
  </w:num>
  <w:num w:numId="18">
    <w:abstractNumId w:val="11"/>
  </w:num>
  <w:num w:numId="19">
    <w:abstractNumId w:val="27"/>
  </w:num>
  <w:num w:numId="20">
    <w:abstractNumId w:val="2"/>
  </w:num>
  <w:num w:numId="21">
    <w:abstractNumId w:val="0"/>
  </w:num>
  <w:num w:numId="22">
    <w:abstractNumId w:val="2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16"/>
  </w:num>
  <w:num w:numId="27">
    <w:abstractNumId w:val="18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6"/>
    <w:rsid w:val="000507AF"/>
    <w:rsid w:val="00052623"/>
    <w:rsid w:val="00055D46"/>
    <w:rsid w:val="00064D9D"/>
    <w:rsid w:val="000825A3"/>
    <w:rsid w:val="00086FBF"/>
    <w:rsid w:val="00091310"/>
    <w:rsid w:val="0009325D"/>
    <w:rsid w:val="000D26FB"/>
    <w:rsid w:val="000D5A41"/>
    <w:rsid w:val="000E5B79"/>
    <w:rsid w:val="000E6D16"/>
    <w:rsid w:val="00115756"/>
    <w:rsid w:val="00140B76"/>
    <w:rsid w:val="00146B74"/>
    <w:rsid w:val="0015186D"/>
    <w:rsid w:val="00161307"/>
    <w:rsid w:val="00170D48"/>
    <w:rsid w:val="001807D5"/>
    <w:rsid w:val="00180F29"/>
    <w:rsid w:val="001A5C05"/>
    <w:rsid w:val="001A5F50"/>
    <w:rsid w:val="001B01B1"/>
    <w:rsid w:val="001C10DD"/>
    <w:rsid w:val="001D0D28"/>
    <w:rsid w:val="001E6E91"/>
    <w:rsid w:val="001F0017"/>
    <w:rsid w:val="002068A0"/>
    <w:rsid w:val="00226BC6"/>
    <w:rsid w:val="002361A9"/>
    <w:rsid w:val="00250E53"/>
    <w:rsid w:val="00256CC8"/>
    <w:rsid w:val="0026467C"/>
    <w:rsid w:val="002718CD"/>
    <w:rsid w:val="00275890"/>
    <w:rsid w:val="00277595"/>
    <w:rsid w:val="00287ADD"/>
    <w:rsid w:val="00287F1F"/>
    <w:rsid w:val="002A12B9"/>
    <w:rsid w:val="002C7382"/>
    <w:rsid w:val="002D3810"/>
    <w:rsid w:val="002D5035"/>
    <w:rsid w:val="002F295E"/>
    <w:rsid w:val="00306DE1"/>
    <w:rsid w:val="003246A2"/>
    <w:rsid w:val="0032601A"/>
    <w:rsid w:val="003374D4"/>
    <w:rsid w:val="00345C93"/>
    <w:rsid w:val="00350F78"/>
    <w:rsid w:val="00351818"/>
    <w:rsid w:val="003533C8"/>
    <w:rsid w:val="003568C3"/>
    <w:rsid w:val="00356FC0"/>
    <w:rsid w:val="00364339"/>
    <w:rsid w:val="00370513"/>
    <w:rsid w:val="00372441"/>
    <w:rsid w:val="00377F59"/>
    <w:rsid w:val="003A16A5"/>
    <w:rsid w:val="003B3FF4"/>
    <w:rsid w:val="003C0D70"/>
    <w:rsid w:val="003C1DAA"/>
    <w:rsid w:val="003D1AF1"/>
    <w:rsid w:val="003D2F86"/>
    <w:rsid w:val="003F61F5"/>
    <w:rsid w:val="004057C3"/>
    <w:rsid w:val="00420B1C"/>
    <w:rsid w:val="004316D8"/>
    <w:rsid w:val="004335BD"/>
    <w:rsid w:val="004362E2"/>
    <w:rsid w:val="00443205"/>
    <w:rsid w:val="0044355D"/>
    <w:rsid w:val="00457D34"/>
    <w:rsid w:val="00466C63"/>
    <w:rsid w:val="0048139B"/>
    <w:rsid w:val="004816D6"/>
    <w:rsid w:val="004824DF"/>
    <w:rsid w:val="00487AA8"/>
    <w:rsid w:val="004A0ADA"/>
    <w:rsid w:val="004B12E2"/>
    <w:rsid w:val="004B679C"/>
    <w:rsid w:val="004D32C8"/>
    <w:rsid w:val="004E03A0"/>
    <w:rsid w:val="004F11F6"/>
    <w:rsid w:val="004F5518"/>
    <w:rsid w:val="005000D9"/>
    <w:rsid w:val="005022DE"/>
    <w:rsid w:val="00507900"/>
    <w:rsid w:val="00512F08"/>
    <w:rsid w:val="005257DA"/>
    <w:rsid w:val="0053122E"/>
    <w:rsid w:val="00543F99"/>
    <w:rsid w:val="00545382"/>
    <w:rsid w:val="00551DBD"/>
    <w:rsid w:val="005627D8"/>
    <w:rsid w:val="005C2997"/>
    <w:rsid w:val="005C707B"/>
    <w:rsid w:val="005E0200"/>
    <w:rsid w:val="005E206B"/>
    <w:rsid w:val="005F70A8"/>
    <w:rsid w:val="005F7DBB"/>
    <w:rsid w:val="00611369"/>
    <w:rsid w:val="00624B9B"/>
    <w:rsid w:val="006505BF"/>
    <w:rsid w:val="00667D97"/>
    <w:rsid w:val="006716FB"/>
    <w:rsid w:val="006806D3"/>
    <w:rsid w:val="00697EAB"/>
    <w:rsid w:val="006A157F"/>
    <w:rsid w:val="006A1A01"/>
    <w:rsid w:val="006B5AF9"/>
    <w:rsid w:val="006C196B"/>
    <w:rsid w:val="006D08A9"/>
    <w:rsid w:val="006D307A"/>
    <w:rsid w:val="006F5376"/>
    <w:rsid w:val="007256C6"/>
    <w:rsid w:val="00741EF1"/>
    <w:rsid w:val="00745FAE"/>
    <w:rsid w:val="00764754"/>
    <w:rsid w:val="007715D1"/>
    <w:rsid w:val="007956C2"/>
    <w:rsid w:val="007B11A0"/>
    <w:rsid w:val="007C3FA3"/>
    <w:rsid w:val="007C4516"/>
    <w:rsid w:val="007D026E"/>
    <w:rsid w:val="00800B9F"/>
    <w:rsid w:val="0081106B"/>
    <w:rsid w:val="00816049"/>
    <w:rsid w:val="0082250F"/>
    <w:rsid w:val="0084214B"/>
    <w:rsid w:val="00847BA8"/>
    <w:rsid w:val="00873782"/>
    <w:rsid w:val="00880F9F"/>
    <w:rsid w:val="008A01B7"/>
    <w:rsid w:val="008A092B"/>
    <w:rsid w:val="008B468A"/>
    <w:rsid w:val="008D100A"/>
    <w:rsid w:val="008F23EF"/>
    <w:rsid w:val="009030E6"/>
    <w:rsid w:val="009207DB"/>
    <w:rsid w:val="00920BA0"/>
    <w:rsid w:val="00927854"/>
    <w:rsid w:val="0096343A"/>
    <w:rsid w:val="009906BB"/>
    <w:rsid w:val="009A6C5D"/>
    <w:rsid w:val="009C0858"/>
    <w:rsid w:val="009D2A96"/>
    <w:rsid w:val="009D2E19"/>
    <w:rsid w:val="00A10A22"/>
    <w:rsid w:val="00A12D51"/>
    <w:rsid w:val="00A13AC6"/>
    <w:rsid w:val="00A16469"/>
    <w:rsid w:val="00A50025"/>
    <w:rsid w:val="00A524F8"/>
    <w:rsid w:val="00A52F3C"/>
    <w:rsid w:val="00A70E5D"/>
    <w:rsid w:val="00A91FB4"/>
    <w:rsid w:val="00AB4DB5"/>
    <w:rsid w:val="00AC484D"/>
    <w:rsid w:val="00AD15A2"/>
    <w:rsid w:val="00AD49A7"/>
    <w:rsid w:val="00AD5C2C"/>
    <w:rsid w:val="00B11A12"/>
    <w:rsid w:val="00B13A39"/>
    <w:rsid w:val="00B36DBA"/>
    <w:rsid w:val="00B63DD9"/>
    <w:rsid w:val="00B84500"/>
    <w:rsid w:val="00BB4468"/>
    <w:rsid w:val="00BC521E"/>
    <w:rsid w:val="00BC5FF6"/>
    <w:rsid w:val="00BC665C"/>
    <w:rsid w:val="00BD0F50"/>
    <w:rsid w:val="00C16B9F"/>
    <w:rsid w:val="00C16F87"/>
    <w:rsid w:val="00C17226"/>
    <w:rsid w:val="00C379EB"/>
    <w:rsid w:val="00C37A3D"/>
    <w:rsid w:val="00C37D6C"/>
    <w:rsid w:val="00C403D3"/>
    <w:rsid w:val="00C43547"/>
    <w:rsid w:val="00C43CF0"/>
    <w:rsid w:val="00C45408"/>
    <w:rsid w:val="00C53B4A"/>
    <w:rsid w:val="00C567BC"/>
    <w:rsid w:val="00C81DB2"/>
    <w:rsid w:val="00C82F6A"/>
    <w:rsid w:val="00CA4939"/>
    <w:rsid w:val="00CA5A23"/>
    <w:rsid w:val="00CF1832"/>
    <w:rsid w:val="00D13F8F"/>
    <w:rsid w:val="00D14197"/>
    <w:rsid w:val="00D2520C"/>
    <w:rsid w:val="00D262F5"/>
    <w:rsid w:val="00D276B4"/>
    <w:rsid w:val="00D37CCE"/>
    <w:rsid w:val="00D51A47"/>
    <w:rsid w:val="00D57442"/>
    <w:rsid w:val="00D61B49"/>
    <w:rsid w:val="00D73F51"/>
    <w:rsid w:val="00DC249E"/>
    <w:rsid w:val="00DC2762"/>
    <w:rsid w:val="00DD7ABA"/>
    <w:rsid w:val="00DE7299"/>
    <w:rsid w:val="00DF45E9"/>
    <w:rsid w:val="00E005AE"/>
    <w:rsid w:val="00E04DD2"/>
    <w:rsid w:val="00E45E10"/>
    <w:rsid w:val="00E527A4"/>
    <w:rsid w:val="00E533AB"/>
    <w:rsid w:val="00E661AC"/>
    <w:rsid w:val="00E9046F"/>
    <w:rsid w:val="00EA403C"/>
    <w:rsid w:val="00EA782B"/>
    <w:rsid w:val="00EB2E38"/>
    <w:rsid w:val="00EC0D56"/>
    <w:rsid w:val="00EC0E87"/>
    <w:rsid w:val="00EE28C3"/>
    <w:rsid w:val="00EE763A"/>
    <w:rsid w:val="00EF7912"/>
    <w:rsid w:val="00F051F8"/>
    <w:rsid w:val="00F17821"/>
    <w:rsid w:val="00F24903"/>
    <w:rsid w:val="00F42D09"/>
    <w:rsid w:val="00F44A90"/>
    <w:rsid w:val="00F627AE"/>
    <w:rsid w:val="00F631B7"/>
    <w:rsid w:val="00F84859"/>
    <w:rsid w:val="00F93A66"/>
    <w:rsid w:val="00FA5C8E"/>
    <w:rsid w:val="00FC31B8"/>
    <w:rsid w:val="00FE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6B2E17-40A6-418C-8FCB-B4EEF16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F9"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6B5AF9"/>
    <w:pPr>
      <w:keepNext/>
      <w:jc w:val="center"/>
      <w:outlineLvl w:val="2"/>
    </w:pPr>
    <w:rPr>
      <w:rFonts w:eastAsia="Arial Unicode MS"/>
      <w:b/>
      <w:bCs/>
      <w:color w:val="800000"/>
      <w:lang w:val="x-none" w:eastAsia="x-none"/>
    </w:rPr>
  </w:style>
  <w:style w:type="paragraph" w:styleId="Ttulo4">
    <w:name w:val="heading 4"/>
    <w:basedOn w:val="Normal"/>
    <w:next w:val="Normal"/>
    <w:qFormat/>
    <w:rsid w:val="006B5AF9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qFormat/>
    <w:rsid w:val="006B5AF9"/>
    <w:pPr>
      <w:keepNext/>
      <w:jc w:val="center"/>
      <w:outlineLvl w:val="8"/>
    </w:pPr>
    <w:rPr>
      <w:b/>
      <w:bCs/>
      <w:color w:val="80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B5AF9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angradetextonormal">
    <w:name w:val="Body Text Indent"/>
    <w:basedOn w:val="Normal"/>
    <w:semiHidden/>
    <w:rsid w:val="006B5AF9"/>
    <w:pPr>
      <w:ind w:left="360"/>
      <w:jc w:val="both"/>
    </w:pPr>
    <w:rPr>
      <w:sz w:val="20"/>
    </w:rPr>
  </w:style>
  <w:style w:type="paragraph" w:styleId="Textoindependiente">
    <w:name w:val="Body Text"/>
    <w:basedOn w:val="Normal"/>
    <w:semiHidden/>
    <w:rsid w:val="006B5AF9"/>
    <w:pPr>
      <w:jc w:val="both"/>
    </w:pPr>
    <w:rPr>
      <w:sz w:val="20"/>
    </w:rPr>
  </w:style>
  <w:style w:type="paragraph" w:styleId="Encabezado">
    <w:name w:val="header"/>
    <w:basedOn w:val="Normal"/>
    <w:link w:val="EncabezadoCar"/>
    <w:rsid w:val="006B5AF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Textoennegrita">
    <w:name w:val="Strong"/>
    <w:qFormat/>
    <w:rsid w:val="006B5AF9"/>
    <w:rPr>
      <w:b/>
      <w:bCs/>
    </w:rPr>
  </w:style>
  <w:style w:type="paragraph" w:styleId="Sangra2detindependiente">
    <w:name w:val="Body Text Indent 2"/>
    <w:basedOn w:val="Normal"/>
    <w:semiHidden/>
    <w:rsid w:val="006B5AF9"/>
    <w:pPr>
      <w:ind w:left="708"/>
      <w:jc w:val="both"/>
    </w:pPr>
  </w:style>
  <w:style w:type="paragraph" w:styleId="Piedepgina">
    <w:name w:val="footer"/>
    <w:basedOn w:val="Normal"/>
    <w:link w:val="PiedepginaCar"/>
    <w:rsid w:val="006B5AF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6B5AF9"/>
  </w:style>
  <w:style w:type="character" w:customStyle="1" w:styleId="PiedepginaCar">
    <w:name w:val="Pie de página Car"/>
    <w:link w:val="Piedepgina"/>
    <w:rsid w:val="003533C8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3C8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33C8"/>
    <w:rPr>
      <w:rFonts w:ascii="Tahoma" w:hAnsi="Tahoma" w:cs="Tahoma"/>
      <w:sz w:val="16"/>
      <w:szCs w:val="16"/>
    </w:rPr>
  </w:style>
  <w:style w:type="character" w:styleId="Hipervnculo">
    <w:name w:val="Hyperlink"/>
    <w:rsid w:val="003533C8"/>
    <w:rPr>
      <w:color w:val="0000FF"/>
      <w:u w:val="single"/>
    </w:rPr>
  </w:style>
  <w:style w:type="character" w:customStyle="1" w:styleId="Ttulo3Car">
    <w:name w:val="Título 3 Car"/>
    <w:link w:val="Ttulo3"/>
    <w:rsid w:val="00287F1F"/>
    <w:rPr>
      <w:rFonts w:eastAsia="Arial Unicode MS"/>
      <w:b/>
      <w:bCs/>
      <w:color w:val="800000"/>
      <w:sz w:val="24"/>
      <w:szCs w:val="24"/>
    </w:rPr>
  </w:style>
  <w:style w:type="paragraph" w:customStyle="1" w:styleId="centrado">
    <w:name w:val="centrado"/>
    <w:basedOn w:val="Normal"/>
    <w:link w:val="centradoCar"/>
    <w:rsid w:val="00512F08"/>
    <w:pPr>
      <w:spacing w:before="100" w:beforeAutospacing="1" w:after="100" w:afterAutospacing="1"/>
    </w:pPr>
    <w:rPr>
      <w:color w:val="000000"/>
    </w:rPr>
  </w:style>
  <w:style w:type="character" w:customStyle="1" w:styleId="centradoCar">
    <w:name w:val="centrado Car"/>
    <w:link w:val="centrado"/>
    <w:rsid w:val="00512F08"/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2F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A16469"/>
    <w:rPr>
      <w:sz w:val="24"/>
      <w:szCs w:val="24"/>
    </w:rPr>
  </w:style>
  <w:style w:type="table" w:styleId="Tablaconcuadrcula">
    <w:name w:val="Table Grid"/>
    <w:basedOn w:val="Tablanormal"/>
    <w:uiPriority w:val="39"/>
    <w:rsid w:val="003724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cp:lastModifiedBy>usuario</cp:lastModifiedBy>
  <cp:revision>18</cp:revision>
  <cp:lastPrinted>2019-07-08T09:11:00Z</cp:lastPrinted>
  <dcterms:created xsi:type="dcterms:W3CDTF">2019-07-04T08:03:00Z</dcterms:created>
  <dcterms:modified xsi:type="dcterms:W3CDTF">2019-07-08T13:05:00Z</dcterms:modified>
</cp:coreProperties>
</file>