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E673" w14:textId="6ACD816B" w:rsidR="002B2C85" w:rsidRPr="00BF2C4F" w:rsidRDefault="00303069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>Las personas interesadas, tituladas universitarias, deberán presentar en la Administración del Departamento la siguiente documentación:</w:t>
      </w:r>
    </w:p>
    <w:p w14:paraId="457CBC42" w14:textId="77777777" w:rsidR="00BF2C4F" w:rsidRDefault="00303069" w:rsidP="00BF2C4F">
      <w:pPr>
        <w:spacing w:after="0"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 xml:space="preserve">1.- Instancia de la persona candidata dirigida a la Sra. </w:t>
      </w:r>
      <w:proofErr w:type="gramStart"/>
      <w:r w:rsidRPr="00BF2C4F">
        <w:rPr>
          <w:rFonts w:ascii="Century Gothic" w:hAnsi="Century Gothic"/>
        </w:rPr>
        <w:t>Directora</w:t>
      </w:r>
      <w:proofErr w:type="gramEnd"/>
      <w:r w:rsidRPr="00BF2C4F">
        <w:rPr>
          <w:rFonts w:ascii="Century Gothic" w:hAnsi="Century Gothic"/>
        </w:rPr>
        <w:t xml:space="preserve"> del Departamento. Se puede obtener modelo en:</w:t>
      </w:r>
    </w:p>
    <w:p w14:paraId="13EB76DC" w14:textId="0E6EA355" w:rsidR="00303069" w:rsidRPr="00BF2C4F" w:rsidRDefault="00303069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  <w:b/>
          <w:bCs/>
        </w:rPr>
        <w:t>https://departamento.us.es/litingnor/gestion-y-administracion/impresos</w:t>
      </w:r>
    </w:p>
    <w:p w14:paraId="32A45141" w14:textId="41791930" w:rsidR="00303069" w:rsidRPr="00BF2C4F" w:rsidRDefault="00303069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>2.- Fotocopia del título universitario.</w:t>
      </w:r>
    </w:p>
    <w:p w14:paraId="3D4735B8" w14:textId="52AC9265" w:rsidR="00303069" w:rsidRPr="00BF2C4F" w:rsidRDefault="00303069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 xml:space="preserve">3.- CV de la persona candidata. Desde el Servicio de Gestión de Personal Docente se aconseja que los currículos </w:t>
      </w:r>
      <w:r w:rsidRPr="00BF2C4F">
        <w:rPr>
          <w:rFonts w:ascii="Century Gothic" w:hAnsi="Century Gothic"/>
          <w:b/>
          <w:bCs/>
        </w:rPr>
        <w:t>no excedan de los 3 folios de extensión.</w:t>
      </w:r>
    </w:p>
    <w:p w14:paraId="61A2146E" w14:textId="55130CD4" w:rsidR="00303069" w:rsidRPr="00BF2C4F" w:rsidRDefault="00303069" w:rsidP="00CD4614">
      <w:pPr>
        <w:spacing w:after="0"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>4.- Informe emitido por un profesor doctor del Departamento en el que se refleje:</w:t>
      </w:r>
    </w:p>
    <w:p w14:paraId="686B4374" w14:textId="35DA36BC" w:rsidR="00303069" w:rsidRPr="00BF2C4F" w:rsidRDefault="00303069" w:rsidP="00CD4614">
      <w:pPr>
        <w:spacing w:after="0" w:line="276" w:lineRule="auto"/>
        <w:ind w:left="708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>a.- Justificación motivada de la procedencia del nombramiento o renovación.</w:t>
      </w:r>
    </w:p>
    <w:p w14:paraId="3AFBB0CD" w14:textId="57302C4C" w:rsidR="00303069" w:rsidRPr="00BF2C4F" w:rsidRDefault="00303069" w:rsidP="00CD4614">
      <w:pPr>
        <w:spacing w:line="276" w:lineRule="auto"/>
        <w:ind w:left="708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>b. Descripción de las tareas de investigación en las que participará la persona candidata.</w:t>
      </w:r>
    </w:p>
    <w:p w14:paraId="674B624D" w14:textId="7FF74EDC" w:rsidR="00303069" w:rsidRPr="00BF2C4F" w:rsidRDefault="00303069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>5.- Impreso de declaración responsable fechado y firmado.</w:t>
      </w:r>
    </w:p>
    <w:p w14:paraId="0C00E2B1" w14:textId="6B9FDB15" w:rsidR="00303069" w:rsidRPr="00BF2C4F" w:rsidRDefault="00303069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 xml:space="preserve">El plazo de presentación de documentación será del </w:t>
      </w:r>
      <w:r w:rsidRPr="00BF2C4F">
        <w:rPr>
          <w:rFonts w:ascii="Century Gothic" w:hAnsi="Century Gothic"/>
          <w:b/>
          <w:bCs/>
        </w:rPr>
        <w:t>25 de febrero al 9 de marzo de 2026 (ambos inclusive)</w:t>
      </w:r>
      <w:r w:rsidRPr="00BF2C4F">
        <w:rPr>
          <w:rFonts w:ascii="Century Gothic" w:hAnsi="Century Gothic"/>
        </w:rPr>
        <w:t xml:space="preserve"> y la misma puede presentarse mediante correo electrónico a </w:t>
      </w:r>
      <w:hyperlink r:id="rId4" w:history="1">
        <w:r w:rsidRPr="00BF2C4F">
          <w:rPr>
            <w:rStyle w:val="Hipervnculo"/>
            <w:rFonts w:ascii="Century Gothic" w:hAnsi="Century Gothic"/>
            <w:b/>
            <w:bCs/>
          </w:rPr>
          <w:t>sec-liting@us.es</w:t>
        </w:r>
      </w:hyperlink>
      <w:r w:rsidRPr="00BF2C4F">
        <w:rPr>
          <w:rFonts w:ascii="Century Gothic" w:hAnsi="Century Gothic"/>
        </w:rPr>
        <w:t xml:space="preserve"> o, presencialmente, en la Administración del Departamento, de lunes a viernes (hábiles), de 9 a 14 horas.</w:t>
      </w:r>
    </w:p>
    <w:p w14:paraId="521169E9" w14:textId="1974FC1A" w:rsidR="00E0283E" w:rsidRPr="00BF2C4F" w:rsidRDefault="00E0283E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 xml:space="preserve">Existen instrucciones de Prevención de Riesgos Laborales para recepción de Asistentes Honorarios </w:t>
      </w:r>
      <w:r w:rsidR="00022094" w:rsidRPr="00BF2C4F">
        <w:rPr>
          <w:rFonts w:ascii="Century Gothic" w:hAnsi="Century Gothic"/>
        </w:rPr>
        <w:t xml:space="preserve">(se solicitarán mediante correo electrónico) </w:t>
      </w:r>
      <w:r w:rsidRPr="00BF2C4F">
        <w:rPr>
          <w:rFonts w:ascii="Century Gothic" w:hAnsi="Century Gothic"/>
        </w:rPr>
        <w:t xml:space="preserve">de la US para aquellos que desarrollen su actividad investigadora en despachos y zonas comunes, con la indicación de informar de forma expresa a los Asistentes de las medidas de prevención de riesgos laborales que deben adoptar, así como la sujeción que deben tener durante su nombramiento al cumplimiento de </w:t>
      </w:r>
      <w:proofErr w:type="gramStart"/>
      <w:r w:rsidRPr="00BF2C4F">
        <w:rPr>
          <w:rFonts w:ascii="Century Gothic" w:hAnsi="Century Gothic"/>
        </w:rPr>
        <w:t>las mismas</w:t>
      </w:r>
      <w:proofErr w:type="gramEnd"/>
      <w:r w:rsidRPr="00BF2C4F">
        <w:rPr>
          <w:rFonts w:ascii="Century Gothic" w:hAnsi="Century Gothic"/>
        </w:rPr>
        <w:t>. Para ello deberán entregar un recibí de haber sido comunicada dicha información, conforme las instrucciones, que será custodi</w:t>
      </w:r>
      <w:r w:rsidR="00D87A91" w:rsidRPr="00BF2C4F">
        <w:rPr>
          <w:rFonts w:ascii="Century Gothic" w:hAnsi="Century Gothic"/>
        </w:rPr>
        <w:t>a</w:t>
      </w:r>
      <w:r w:rsidRPr="00BF2C4F">
        <w:rPr>
          <w:rFonts w:ascii="Century Gothic" w:hAnsi="Century Gothic"/>
        </w:rPr>
        <w:t>da en el Departamento.</w:t>
      </w:r>
    </w:p>
    <w:p w14:paraId="55347405" w14:textId="77777777" w:rsidR="00BF2C4F" w:rsidRDefault="00D87A91" w:rsidP="00BF2C4F">
      <w:pPr>
        <w:spacing w:after="0"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</w:rPr>
        <w:t xml:space="preserve">La efectividad del nombramiento estará asimismo condicionada a que el Asistente Honorario acredite un seguro de accidente durante su actividad, siempre que la misma se desarrolle en instalaciones de la Universidad </w:t>
      </w:r>
      <w:r w:rsidR="000C4C0A" w:rsidRPr="00BF2C4F">
        <w:rPr>
          <w:rFonts w:ascii="Century Gothic" w:hAnsi="Century Gothic"/>
        </w:rPr>
        <w:t>de Sevilla. Para más información sobre el seguro de Asistentes Honorarios, el SACU facilita el siguiente enlace, donde constan las ofertas presentadas:</w:t>
      </w:r>
    </w:p>
    <w:p w14:paraId="53E5B2FF" w14:textId="539D50E0" w:rsidR="00D87A91" w:rsidRPr="00BF2C4F" w:rsidRDefault="000C4C0A" w:rsidP="00CD4614">
      <w:pPr>
        <w:spacing w:line="276" w:lineRule="auto"/>
        <w:jc w:val="both"/>
        <w:rPr>
          <w:rFonts w:ascii="Century Gothic" w:hAnsi="Century Gothic"/>
        </w:rPr>
      </w:pPr>
      <w:r w:rsidRPr="00BF2C4F">
        <w:rPr>
          <w:rFonts w:ascii="Century Gothic" w:hAnsi="Century Gothic"/>
          <w:b/>
          <w:bCs/>
        </w:rPr>
        <w:t>https://sacu.us.es/spp-servicios-ofertas-seguros-asistentes-honorarios</w:t>
      </w:r>
    </w:p>
    <w:sectPr w:rsidR="00D87A91" w:rsidRPr="00BF2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69"/>
    <w:rsid w:val="00022094"/>
    <w:rsid w:val="000C4C0A"/>
    <w:rsid w:val="002B2C85"/>
    <w:rsid w:val="00303069"/>
    <w:rsid w:val="00A44DC6"/>
    <w:rsid w:val="00BF2C4F"/>
    <w:rsid w:val="00CD4614"/>
    <w:rsid w:val="00D23823"/>
    <w:rsid w:val="00D87A91"/>
    <w:rsid w:val="00E0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E93A"/>
  <w15:chartTrackingRefBased/>
  <w15:docId w15:val="{32B29710-9921-4B9C-9481-18DED29A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0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0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0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0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0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0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0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30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0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0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306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0306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3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-liting@u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1888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MARTIN BEJARANO</dc:creator>
  <cp:keywords/>
  <dc:description/>
  <cp:lastModifiedBy>ANA LUISA MARTIN BEJARANO</cp:lastModifiedBy>
  <cp:revision>3</cp:revision>
  <dcterms:created xsi:type="dcterms:W3CDTF">2026-02-24T08:51:00Z</dcterms:created>
  <dcterms:modified xsi:type="dcterms:W3CDTF">2026-02-24T09:50:00Z</dcterms:modified>
</cp:coreProperties>
</file>